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BF54D7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МУГУНСКОГО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BF54D7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«04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02.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3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. </w:t>
      </w:r>
      <w:proofErr w:type="spellStart"/>
      <w:r w:rsidR="00BF54D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Мугун</w:t>
      </w:r>
      <w:proofErr w:type="spellEnd"/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аренду муниципального имущества </w:t>
      </w:r>
      <w:proofErr w:type="spellStart"/>
      <w:r w:rsidR="00BF54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Мугунского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статьей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</w:t>
      </w:r>
      <w:proofErr w:type="gramStart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4D7" w:rsidRPr="00BF54D7" w:rsidRDefault="00BF54D7" w:rsidP="00BF54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Отменить:</w:t>
      </w:r>
    </w:p>
    <w:p w:rsidR="00BF54D7" w:rsidRPr="00BF54D7" w:rsidRDefault="00BF54D7" w:rsidP="00BF54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решение</w:t>
      </w:r>
      <w:proofErr w:type="gramEnd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22.08.2018 года № 18</w:t>
      </w:r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сдачи в аренду и безвозмездное пользование объектов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BF54D7" w:rsidRPr="00BF54D7" w:rsidRDefault="00BF54D7" w:rsidP="00BF54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 года № 18</w:t>
      </w:r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порядке сдачи в аренду и безвозмездное пользование объектов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bookmarkStart w:id="0" w:name="_GoBack"/>
      <w:bookmarkEnd w:id="0"/>
      <w:proofErr w:type="spellEnd"/>
      <w:r w:rsidRP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BF54D7" w:rsidRPr="007A5665" w:rsidRDefault="00BF54D7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</w:p>
    <w:p w:rsidR="007A5665" w:rsidRDefault="008819D1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F54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Н.Кучеров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D7" w:rsidRDefault="00BF54D7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BF54D7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 2021 года №3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 w:rsidR="00BF54D7">
        <w:rPr>
          <w:rFonts w:ascii="Times New Roman" w:eastAsia="Calibri" w:hAnsi="Times New Roman" w:cs="Times New Roman"/>
          <w:b/>
          <w:bCs/>
          <w:sz w:val="24"/>
          <w:szCs w:val="24"/>
        </w:rPr>
        <w:t>МУГУНСКОГО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2E8C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2.муниципальные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автономные учреждения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Форма проведения торгов (конкурс или аукцион) определяется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документы представлены не в полном объеме либо наличие в представленных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использованию для муниципальных и 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13.Доходы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от сдачи муниципального имущества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такого договора на новый срок с арендатором,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lastRenderedPageBreak/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E54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 xml:space="preserve">8.4. Арендная плата за пользование муниципальным имуществом вносится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 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 А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кредиторской задолженности 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>9.1. Кредиторская задолженность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Кредиторская задолженность по арендной плате и пени по договорам, заключенным в отношении муниципального имущества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согласия в письменной форме антимонопольного органа, за исключением случаев, предусмотренных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lastRenderedPageBreak/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>13.1. Арендодатель осуществляет контроль за: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proofErr w:type="spellStart"/>
      <w:r w:rsidR="00BF54D7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2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14817"/>
    <w:rsid w:val="00280697"/>
    <w:rsid w:val="00311F1A"/>
    <w:rsid w:val="00323362"/>
    <w:rsid w:val="00394628"/>
    <w:rsid w:val="004362A3"/>
    <w:rsid w:val="004A2EFE"/>
    <w:rsid w:val="004D5BC3"/>
    <w:rsid w:val="005C7350"/>
    <w:rsid w:val="005E75BC"/>
    <w:rsid w:val="007A5665"/>
    <w:rsid w:val="007E544E"/>
    <w:rsid w:val="00817774"/>
    <w:rsid w:val="008819D1"/>
    <w:rsid w:val="008917C7"/>
    <w:rsid w:val="008B2C3F"/>
    <w:rsid w:val="00970FA1"/>
    <w:rsid w:val="009C1FD3"/>
    <w:rsid w:val="00B6053F"/>
    <w:rsid w:val="00BD7718"/>
    <w:rsid w:val="00BF54D7"/>
    <w:rsid w:val="00C04A9A"/>
    <w:rsid w:val="00D8424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C4EE"/>
  <w15:docId w15:val="{83B517DD-1B27-464C-8423-8807A7A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D12E-55DE-40EF-85BE-D54E15D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newElement</cp:lastModifiedBy>
  <cp:revision>9</cp:revision>
  <cp:lastPrinted>2021-02-11T06:44:00Z</cp:lastPrinted>
  <dcterms:created xsi:type="dcterms:W3CDTF">2020-06-02T05:37:00Z</dcterms:created>
  <dcterms:modified xsi:type="dcterms:W3CDTF">2021-02-11T06:49:00Z</dcterms:modified>
</cp:coreProperties>
</file>